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13" w:rsidRPr="00597113" w:rsidRDefault="00597113" w:rsidP="00597113">
      <w:pPr>
        <w:jc w:val="center"/>
        <w:rPr>
          <w:b/>
        </w:rPr>
      </w:pPr>
      <w:r w:rsidRPr="00597113">
        <w:rPr>
          <w:b/>
        </w:rPr>
        <w:t>Ejemplos de preguntas de examen</w:t>
      </w:r>
    </w:p>
    <w:p w:rsidR="00597113" w:rsidRPr="00597113" w:rsidRDefault="00597113">
      <w:r w:rsidRPr="00597113">
        <w:t>A petición de algunos aspirantes para la obtención del certificado municipal de conductor de taxi, se relacionan algunos ejemplos del tipo de preguntas que suelen caer en el examen.</w:t>
      </w:r>
    </w:p>
    <w:p w:rsidR="00597113" w:rsidRDefault="00597113">
      <w:pPr>
        <w:pBdr>
          <w:bottom w:val="single" w:sz="12" w:space="1" w:color="auto"/>
        </w:pBdr>
      </w:pPr>
      <w:r w:rsidRPr="00597113">
        <w:t xml:space="preserve">Málaga a </w:t>
      </w:r>
      <w:r w:rsidR="008B2976">
        <w:t>17/07/2025</w:t>
      </w:r>
      <w:bookmarkStart w:id="0" w:name="_GoBack"/>
      <w:bookmarkEnd w:id="0"/>
      <w:r>
        <w:t>.</w:t>
      </w:r>
    </w:p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30"/>
        <w:gridCol w:w="8820"/>
      </w:tblGrid>
      <w:tr w:rsidR="009313BD" w:rsidRPr="00BE5323" w:rsidTr="00A860BB">
        <w:trPr>
          <w:trHeight w:val="46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313BD" w:rsidRPr="00BE5323" w:rsidRDefault="00597113" w:rsidP="009F0D85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NORMATIVA. El vehículo adscrito a una licencia podrá estar en poder del titular:</w:t>
            </w:r>
          </w:p>
        </w:tc>
      </w:tr>
      <w:tr w:rsidR="009313BD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En renting </w:t>
            </w:r>
          </w:p>
        </w:tc>
      </w:tr>
      <w:tr w:rsidR="009313BD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En usufructo</w:t>
            </w:r>
          </w:p>
        </w:tc>
      </w:tr>
      <w:tr w:rsidR="009313BD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En régimen de propiedad</w:t>
            </w:r>
          </w:p>
        </w:tc>
      </w:tr>
      <w:tr w:rsidR="009313BD" w:rsidRPr="00BE5323" w:rsidTr="00597113">
        <w:trPr>
          <w:trHeight w:val="55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Bien en régimen de propiedad, en usufructo, leasing, renting o cualquier régimen de tenencia que permita el libre uso del vehículo</w:t>
            </w:r>
          </w:p>
        </w:tc>
      </w:tr>
      <w:tr w:rsidR="009313BD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9313BD" w:rsidRPr="00BE5323" w:rsidTr="00A860BB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>NORMATIVA. La vigencia de las licencias ¿A qué queda condicionada?:</w:t>
            </w:r>
          </w:p>
        </w:tc>
      </w:tr>
      <w:tr w:rsidR="009313BD" w:rsidRPr="00BE5323" w:rsidTr="00A860BB">
        <w:trPr>
          <w:trHeight w:val="12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Default="009313BD" w:rsidP="00CD1B12">
            <w:pPr>
              <w:spacing w:after="0" w:line="240" w:lineRule="auto"/>
              <w:jc w:val="both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A la constatación por parte de la Administración Municipal, del mantenimiento de las condiciones que originariamente justificaron su otorgamiento y que constituyen requisitos para su validez y de aquellas otras que, </w:t>
            </w:r>
            <w:r w:rsidR="00CD1B12"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aun</w:t>
            </w: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no siendo exigidas originariamente, resulten, asimismo, de obligado cumplimiento en virtud de las disposiciones legales que resulten de aplicación</w:t>
            </w:r>
          </w:p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9313BD" w:rsidRPr="00BE5323" w:rsidTr="00A860BB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 la constatación por parte de la Administración Municipal, de</w:t>
            </w:r>
            <w:r w:rsidR="00651820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los requisitos técnicos del vehículo.</w:t>
            </w:r>
          </w:p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9313BD" w:rsidRPr="00BE5323" w:rsidTr="00A860BB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A la constatación por parte de la Administración Municipal </w:t>
            </w:r>
            <w:r w:rsidR="00651820">
              <w:rPr>
                <w:rFonts w:ascii="Matter Light" w:eastAsia="Times New Roman" w:hAnsi="Matter Light" w:cs="Calibri"/>
                <w:color w:val="000000"/>
                <w:lang w:eastAsia="es-ES"/>
              </w:rPr>
              <w:t>de los requisitos personales del titular de la licencia.</w:t>
            </w:r>
          </w:p>
        </w:tc>
      </w:tr>
      <w:tr w:rsidR="009313BD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Ninguna de las respuestas es la correcta</w:t>
            </w:r>
          </w:p>
        </w:tc>
      </w:tr>
      <w:tr w:rsidR="009313BD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</w:tr>
      <w:tr w:rsidR="009313BD" w:rsidRPr="00BE5323" w:rsidTr="00A860BB">
        <w:trPr>
          <w:trHeight w:val="62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>NORMATIVA. Ejercicio de la actividad por la persona titular. Toda incidencia que afecte a la prestación del servicio deberá ser comunicada en el plazo de:</w:t>
            </w:r>
          </w:p>
        </w:tc>
      </w:tr>
      <w:tr w:rsidR="009313BD" w:rsidRPr="00BE5323" w:rsidTr="00A860BB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Veinte días a la Administración Municipal</w:t>
            </w:r>
          </w:p>
        </w:tc>
      </w:tr>
      <w:tr w:rsidR="009313BD" w:rsidRPr="00BE5323" w:rsidTr="00A860BB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Quince días a la Administración Municipal</w:t>
            </w:r>
          </w:p>
        </w:tc>
      </w:tr>
      <w:tr w:rsidR="009313BD" w:rsidRPr="00BE5323" w:rsidTr="00A860BB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Cinco días a la Administración Municipal</w:t>
            </w:r>
          </w:p>
        </w:tc>
      </w:tr>
      <w:tr w:rsidR="009313BD" w:rsidRPr="00BE5323" w:rsidTr="00A860BB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Diez </w:t>
            </w:r>
            <w:proofErr w:type="gramStart"/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días  a</w:t>
            </w:r>
            <w:proofErr w:type="gramEnd"/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la Administración Municipal</w:t>
            </w:r>
          </w:p>
        </w:tc>
      </w:tr>
      <w:tr w:rsidR="009313BD" w:rsidRPr="00BE5323" w:rsidTr="00A860BB">
        <w:trPr>
          <w:gridBefore w:val="1"/>
          <w:wBefore w:w="576" w:type="dxa"/>
          <w:trHeight w:val="27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9313BD" w:rsidRPr="00BE5323" w:rsidTr="00A860BB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>NORMATIVA. La prestación del servicio de taxi exigirá:</w:t>
            </w:r>
          </w:p>
        </w:tc>
      </w:tr>
      <w:tr w:rsidR="009313BD" w:rsidRPr="00BE5323" w:rsidTr="00A860BB">
        <w:trPr>
          <w:trHeight w:val="6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La obtención previa de la licencia municipal que habilite a su titular para la prestación de servicio urbano</w:t>
            </w:r>
          </w:p>
        </w:tc>
      </w:tr>
      <w:tr w:rsidR="009313BD" w:rsidRPr="00BE5323" w:rsidTr="00A860BB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La autorización que le habilite para la prestación de servicio interurbano</w:t>
            </w:r>
          </w:p>
        </w:tc>
      </w:tr>
      <w:tr w:rsidR="009313BD" w:rsidRPr="00BE5323" w:rsidTr="00A860BB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Solo autorización de la entidad competente</w:t>
            </w:r>
          </w:p>
        </w:tc>
      </w:tr>
      <w:tr w:rsidR="009313BD" w:rsidRPr="00BE5323" w:rsidTr="00A860BB">
        <w:trPr>
          <w:trHeight w:val="7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La obtención previa de la licencia municipal que habilite a su titular para la prestación de servicio </w:t>
            </w:r>
            <w:proofErr w:type="gramStart"/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urbano  y</w:t>
            </w:r>
            <w:proofErr w:type="gramEnd"/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la simultánea autorización que le habilite para la prestación de servicio interurbano</w:t>
            </w:r>
          </w:p>
          <w:p w:rsidR="00F75887" w:rsidRDefault="00F75887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F75887" w:rsidRDefault="00F75887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F75887" w:rsidRDefault="00F75887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F75887" w:rsidRDefault="00F75887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F75887" w:rsidRDefault="00F75887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F75887" w:rsidRDefault="00F75887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F75887" w:rsidRDefault="00F75887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F75887" w:rsidRPr="00BE5323" w:rsidRDefault="00F75887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9313BD" w:rsidRPr="00BE5323" w:rsidTr="00A860BB">
        <w:trPr>
          <w:trHeight w:val="5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9313BD" w:rsidRPr="00BE5323" w:rsidRDefault="00597113" w:rsidP="009F0D85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lastRenderedPageBreak/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>NORMATIVA. Procedimiento de revocación de las licencias. Finalizado un expediente de revocación, el interesado no podrá obtener licencia hasta que no hayan transcurrido:</w:t>
            </w:r>
          </w:p>
        </w:tc>
      </w:tr>
      <w:tr w:rsidR="009313BD" w:rsidRPr="00BE5323" w:rsidTr="00597113">
        <w:trPr>
          <w:trHeight w:val="18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a)  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58" w:rsidRDefault="00EE1758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Cinco años desde la </w:t>
            </w:r>
            <w:r w:rsidR="009F0D85">
              <w:rPr>
                <w:rFonts w:ascii="Matter Light" w:eastAsia="Times New Roman" w:hAnsi="Matter Light" w:cs="Calibri"/>
                <w:color w:val="000000"/>
                <w:lang w:eastAsia="es-ES"/>
              </w:rPr>
              <w:t>comisión de la infracción que dio lugar al expediente</w:t>
            </w: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de revocación</w:t>
            </w:r>
          </w:p>
        </w:tc>
      </w:tr>
      <w:tr w:rsidR="009313BD" w:rsidRPr="00BE5323" w:rsidTr="00597113">
        <w:trPr>
          <w:trHeight w:val="27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b) 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4D0" w:rsidRDefault="00FF54D0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Dos años desde la notificación de la resolución del expediente de revocación</w:t>
            </w:r>
          </w:p>
        </w:tc>
      </w:tr>
      <w:tr w:rsidR="009313BD" w:rsidRPr="00BE5323" w:rsidTr="00A860BB">
        <w:trPr>
          <w:gridBefore w:val="1"/>
          <w:wBefore w:w="576" w:type="dxa"/>
          <w:trHeight w:val="39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 c) 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4D0" w:rsidRDefault="00FF54D0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Un año desde la notificación de la resolución del expediente de revocación</w:t>
            </w:r>
          </w:p>
        </w:tc>
      </w:tr>
      <w:tr w:rsidR="009313BD" w:rsidRPr="00BE5323" w:rsidTr="00A860BB">
        <w:trPr>
          <w:trHeight w:val="3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d) 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Cinco años desde la notificación de la resolución del expediente de revocación</w:t>
            </w:r>
          </w:p>
        </w:tc>
      </w:tr>
      <w:tr w:rsidR="009313BD" w:rsidRPr="00BE5323" w:rsidTr="00A860BB">
        <w:trPr>
          <w:gridBefore w:val="1"/>
          <w:wBefore w:w="576" w:type="dxa"/>
          <w:trHeight w:val="2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9313BD" w:rsidRPr="00BE5323" w:rsidTr="00A860BB">
        <w:trPr>
          <w:trHeight w:val="5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313BD" w:rsidRPr="00BE5323" w:rsidRDefault="00597113" w:rsidP="009F0D85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NORMATIVA. En el procedimiento administrativo que se tramite para la modificación del número de licencias, ¿a quién se le otorgará trámite de audiencia?: </w:t>
            </w:r>
          </w:p>
        </w:tc>
      </w:tr>
      <w:tr w:rsidR="009313BD" w:rsidRPr="00BE5323" w:rsidTr="00A860BB">
        <w:trPr>
          <w:trHeight w:val="60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 las organizaciones y asociaciones de personas autónomas del sector, a las organizaciones sindicales, a las de consumo y a las de personas con discapacidad</w:t>
            </w:r>
          </w:p>
        </w:tc>
      </w:tr>
      <w:tr w:rsidR="009313BD" w:rsidRPr="00BE5323" w:rsidTr="00A860BB">
        <w:trPr>
          <w:trHeight w:val="42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 las organizaciones sindicales y a las de consumo</w:t>
            </w:r>
          </w:p>
        </w:tc>
      </w:tr>
      <w:tr w:rsidR="009313BD" w:rsidRPr="00BE5323" w:rsidTr="00A860BB">
        <w:trPr>
          <w:gridBefore w:val="1"/>
          <w:wBefore w:w="576" w:type="dxa"/>
          <w:trHeight w:val="467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 las organizaciones y asociaciones de personas autónomas del sector</w:t>
            </w:r>
          </w:p>
        </w:tc>
      </w:tr>
      <w:tr w:rsidR="009313BD" w:rsidRPr="00BE5323" w:rsidTr="00B63727">
        <w:trPr>
          <w:trHeight w:val="46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 las organizaciones y asociaciones de personas autónomas del sector y a las de consumo</w:t>
            </w:r>
          </w:p>
        </w:tc>
      </w:tr>
      <w:tr w:rsidR="009313BD" w:rsidRPr="00BE5323" w:rsidTr="00B63727">
        <w:trPr>
          <w:gridBefore w:val="1"/>
          <w:wBefore w:w="576" w:type="dxa"/>
          <w:trHeight w:val="8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9313BD" w:rsidRPr="00BE5323" w:rsidTr="00B63727">
        <w:trPr>
          <w:trHeight w:val="5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313BD" w:rsidRPr="00BE5323" w:rsidRDefault="00597113" w:rsidP="009F0D85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NORMATIVA. No se podrá prestar ningún servicio con la licencia en situación de suspensión debiendo proceder al inicio de la misma:  </w:t>
            </w:r>
          </w:p>
        </w:tc>
      </w:tr>
      <w:tr w:rsidR="009313BD" w:rsidRPr="00BE5323" w:rsidTr="00A860BB">
        <w:trPr>
          <w:trHeight w:val="56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 entregar en depósito el original de la licencia a la Administración Municipal, así como acreditar el paso del vehículo a uso privado</w:t>
            </w:r>
          </w:p>
        </w:tc>
      </w:tr>
      <w:tr w:rsidR="009313BD" w:rsidRPr="00BE5323" w:rsidTr="00A860BB">
        <w:trPr>
          <w:trHeight w:val="11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110804">
            <w:pPr>
              <w:spacing w:after="0" w:line="240" w:lineRule="auto"/>
              <w:jc w:val="both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 desmontar del vehículo afecto al servicio, el aparato taxímetro y los indicadores luminosos, a eliminar todos los elementos identificadores del vehículo como dedicado al servicio público, a entregar en depósito el original de la licencia a la Administración Municipal, así como acreditar el paso del vehículo a uso privado</w:t>
            </w:r>
          </w:p>
        </w:tc>
      </w:tr>
      <w:tr w:rsidR="009313BD" w:rsidRPr="00BE5323" w:rsidTr="00A860BB">
        <w:trPr>
          <w:gridBefore w:val="1"/>
          <w:wBefore w:w="576" w:type="dxa"/>
          <w:trHeight w:val="72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 desmontar del vehículo afecto al servicio, el aparato taxímetro y los indicadores luminosos</w:t>
            </w:r>
          </w:p>
        </w:tc>
      </w:tr>
      <w:tr w:rsidR="009313BD" w:rsidRPr="00BE5323" w:rsidTr="00597113">
        <w:trPr>
          <w:trHeight w:val="29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3BD" w:rsidRPr="00BE5323" w:rsidRDefault="009313BD" w:rsidP="009F0D85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Ninguna de las respuestas anteriores es correcta</w:t>
            </w:r>
          </w:p>
        </w:tc>
      </w:tr>
      <w:tr w:rsidR="000D6880" w:rsidRPr="00BE5323" w:rsidTr="00A860BB">
        <w:trPr>
          <w:gridBefore w:val="1"/>
          <w:wBefore w:w="576" w:type="dxa"/>
          <w:trHeight w:val="126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880" w:rsidRPr="00BE5323" w:rsidRDefault="000D6880" w:rsidP="003E42F4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880" w:rsidRPr="00BE5323" w:rsidRDefault="000D6880" w:rsidP="003E42F4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597113">
        <w:trPr>
          <w:gridBefore w:val="1"/>
          <w:wBefore w:w="576" w:type="dxa"/>
          <w:trHeight w:val="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A860BB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2725F" w:rsidRPr="00BE5323" w:rsidRDefault="00597113" w:rsidP="0042725F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CALLEJERO. El Hotel </w:t>
            </w:r>
            <w:proofErr w:type="spellStart"/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>Domus</w:t>
            </w:r>
            <w:proofErr w:type="spellEnd"/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 está en :    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Calle Juan Valera.                                                                   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Avenida Juan Sebastián Elcano.</w:t>
            </w:r>
          </w:p>
        </w:tc>
      </w:tr>
      <w:tr w:rsidR="0042725F" w:rsidRPr="00BE5323" w:rsidTr="00A860BB">
        <w:trPr>
          <w:gridBefore w:val="1"/>
          <w:wBefore w:w="576" w:type="dxa"/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Calle Guerrero.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Calle Conde de las Navas.</w:t>
            </w:r>
          </w:p>
        </w:tc>
      </w:tr>
      <w:tr w:rsidR="0042725F" w:rsidRPr="00BE5323" w:rsidTr="00A860BB">
        <w:trPr>
          <w:gridBefore w:val="1"/>
          <w:wBefore w:w="576" w:type="dxa"/>
          <w:trHeight w:val="56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A860BB">
        <w:trPr>
          <w:gridBefore w:val="1"/>
          <w:wBefore w:w="576" w:type="dxa"/>
          <w:trHeight w:val="183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597113">
        <w:trPr>
          <w:gridBefore w:val="1"/>
          <w:wBefore w:w="576" w:type="dxa"/>
          <w:trHeight w:val="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A860BB">
        <w:trPr>
          <w:trHeight w:val="52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2725F" w:rsidRPr="00BE5323" w:rsidRDefault="00597113" w:rsidP="0042725F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CALLEJERO. El Colegio Oficial de Aparejadores de Málaga y Arquitectos Técnicos está situado en: 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Calle La Bolsa.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Avenida de Andalucía.</w:t>
            </w:r>
          </w:p>
        </w:tc>
      </w:tr>
      <w:tr w:rsidR="0042725F" w:rsidRPr="00BE5323" w:rsidTr="00A860BB">
        <w:trPr>
          <w:gridBefore w:val="1"/>
          <w:wBefore w:w="576" w:type="dxa"/>
          <w:trHeight w:val="31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Paseo del Limonar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Avenida de la Aurora.</w:t>
            </w:r>
          </w:p>
        </w:tc>
      </w:tr>
      <w:tr w:rsidR="0042725F" w:rsidRPr="00BE5323" w:rsidTr="00597113">
        <w:trPr>
          <w:gridBefore w:val="1"/>
          <w:wBefore w:w="576" w:type="dxa"/>
          <w:trHeight w:val="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A860BB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2725F" w:rsidRPr="00BE5323" w:rsidRDefault="00597113" w:rsidP="0042725F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CALLEJERO. El Auditorio Edgar Neville está en: 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Avenida de la Aurora.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Avenida de Andalucía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Calle Pacífico</w:t>
            </w:r>
          </w:p>
        </w:tc>
      </w:tr>
      <w:tr w:rsidR="0042725F" w:rsidRPr="00BE5323" w:rsidTr="00A860BB">
        <w:trPr>
          <w:trHeight w:val="3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Ninguna de las respuestas es correcta.</w:t>
            </w:r>
          </w:p>
        </w:tc>
      </w:tr>
      <w:tr w:rsidR="0042725F" w:rsidRPr="00BE5323" w:rsidTr="00597113">
        <w:trPr>
          <w:gridBefore w:val="1"/>
          <w:wBefore w:w="576" w:type="dxa"/>
          <w:trHeight w:val="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A860BB">
        <w:trPr>
          <w:trHeight w:val="56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2725F" w:rsidRPr="00BE5323" w:rsidRDefault="00597113" w:rsidP="0042725F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lastRenderedPageBreak/>
              <w:t>11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CALLEJERO. El Centro Internacional de Formación de Autoridades y Líderes (CIFAL UNITAR) está en:  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Calle Alcazabilla.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Calle Carretería.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Avda. Cervantes.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Cortina del Muelle.</w:t>
            </w:r>
          </w:p>
        </w:tc>
      </w:tr>
      <w:tr w:rsidR="0042725F" w:rsidRPr="00BE5323" w:rsidTr="00A860BB">
        <w:trPr>
          <w:gridBefore w:val="1"/>
          <w:wBefore w:w="576" w:type="dxa"/>
          <w:trHeight w:val="147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A860BB">
        <w:trPr>
          <w:gridBefore w:val="1"/>
          <w:wBefore w:w="576" w:type="dxa"/>
          <w:trHeight w:val="56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A860BB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2725F" w:rsidRPr="00BE5323" w:rsidRDefault="00597113" w:rsidP="0042725F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CALLEJERO. El Consulado Honorario de Finlandia se encuentra situado en: 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Calle Cañizares.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Calle Córdoba</w:t>
            </w:r>
          </w:p>
        </w:tc>
      </w:tr>
      <w:tr w:rsidR="0042725F" w:rsidRPr="00BE5323" w:rsidTr="00A860B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Calle Marqués de Larios.</w:t>
            </w:r>
          </w:p>
        </w:tc>
      </w:tr>
      <w:tr w:rsidR="0042725F" w:rsidRPr="00BE5323" w:rsidTr="00A860BB">
        <w:trPr>
          <w:trHeight w:val="2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Ninguna de las respuestas es la correcta.</w:t>
            </w:r>
          </w:p>
        </w:tc>
      </w:tr>
      <w:tr w:rsidR="0042725F" w:rsidRPr="00BE5323" w:rsidTr="00A860BB">
        <w:trPr>
          <w:gridBefore w:val="1"/>
          <w:wBefore w:w="576" w:type="dxa"/>
          <w:trHeight w:val="151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42725F" w:rsidRPr="00BE5323" w:rsidTr="00A860BB">
        <w:trPr>
          <w:gridBefore w:val="1"/>
          <w:wBefore w:w="576" w:type="dxa"/>
          <w:trHeight w:val="64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25F" w:rsidRPr="00BE5323" w:rsidRDefault="0042725F" w:rsidP="0042725F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</w:p>
        </w:tc>
      </w:tr>
      <w:tr w:rsidR="00A8749E" w:rsidRPr="00BE5323" w:rsidTr="00CA41D4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8749E" w:rsidRPr="00BE5323" w:rsidRDefault="00A8749E" w:rsidP="00CA41D4">
            <w:pPr>
              <w:spacing w:after="0" w:line="240" w:lineRule="auto"/>
              <w:jc w:val="center"/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jc w:val="right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Default="00A8749E" w:rsidP="00CA41D4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>NORMATIVA</w:t>
            </w: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. </w:t>
            </w:r>
            <w:r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>Si se inicia un servicio en el Aeropuerto con destino a Granada y el cliente lleva 3 maletas</w:t>
            </w:r>
            <w:r w:rsidRPr="00BE5323"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  <w:t xml:space="preserve">: </w:t>
            </w:r>
          </w:p>
          <w:p w:rsidR="00C153CB" w:rsidRPr="00BE5323" w:rsidRDefault="00C153CB" w:rsidP="00CA41D4">
            <w:pPr>
              <w:spacing w:after="0" w:line="240" w:lineRule="auto"/>
              <w:rPr>
                <w:rFonts w:ascii="Matter Light" w:eastAsia="Times New Roman" w:hAnsi="Matter Light" w:cs="Times New Roman"/>
                <w:b/>
                <w:bCs/>
                <w:color w:val="000000"/>
                <w:lang w:eastAsia="es-ES"/>
              </w:rPr>
            </w:pPr>
          </w:p>
        </w:tc>
      </w:tr>
      <w:tr w:rsidR="00A8749E" w:rsidRPr="00BE5323" w:rsidTr="00CA41D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a)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color w:val="000000"/>
                <w:lang w:eastAsia="es-ES"/>
              </w:rPr>
              <w:t xml:space="preserve">Puedo aplicarle el suplemento </w:t>
            </w:r>
            <w:r w:rsidR="00C153CB">
              <w:rPr>
                <w:rFonts w:ascii="Matter Light" w:eastAsia="Times New Roman" w:hAnsi="Matter Light" w:cs="Calibri"/>
                <w:color w:val="000000"/>
                <w:lang w:eastAsia="es-ES"/>
              </w:rPr>
              <w:t>de maletas de 0,56 €</w:t>
            </w: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.</w:t>
            </w:r>
          </w:p>
        </w:tc>
      </w:tr>
      <w:tr w:rsidR="00A8749E" w:rsidRPr="00BE5323" w:rsidTr="00CA41D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b)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C153CB" w:rsidP="00CA41D4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color w:val="000000"/>
                <w:lang w:eastAsia="es-ES"/>
              </w:rPr>
              <w:t>Puedo aplicarle el suplemento de 0,56€ por cada maleta.</w:t>
            </w:r>
          </w:p>
        </w:tc>
      </w:tr>
      <w:tr w:rsidR="00A8749E" w:rsidRPr="00BE5323" w:rsidTr="00CA41D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c)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C153CB" w:rsidP="00CA41D4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color w:val="000000"/>
                <w:lang w:eastAsia="es-ES"/>
              </w:rPr>
              <w:t>No puedo aplicar el suplemento de maletas ni el servicio mínimo con origen aeropuerto</w:t>
            </w:r>
            <w:r w:rsidR="00A8749E"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.</w:t>
            </w:r>
          </w:p>
        </w:tc>
      </w:tr>
      <w:tr w:rsidR="00A8749E" w:rsidRPr="00BE5323" w:rsidTr="00CA41D4">
        <w:trPr>
          <w:trHeight w:val="2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jc w:val="center"/>
              <w:rPr>
                <w:rFonts w:ascii="Matter Light" w:eastAsia="Times New Roman" w:hAnsi="Matter Light" w:cs="Times New Roman"/>
                <w:color w:val="000000"/>
                <w:lang w:eastAsia="es-E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A8749E" w:rsidP="00CA41D4">
            <w:pPr>
              <w:spacing w:after="0" w:line="240" w:lineRule="auto"/>
              <w:jc w:val="right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d)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49E" w:rsidRPr="00BE5323" w:rsidRDefault="00C153CB" w:rsidP="00CA41D4">
            <w:pPr>
              <w:spacing w:after="0" w:line="240" w:lineRule="auto"/>
              <w:rPr>
                <w:rFonts w:ascii="Matter Light" w:eastAsia="Times New Roman" w:hAnsi="Matter Light" w:cs="Calibri"/>
                <w:color w:val="000000"/>
                <w:lang w:eastAsia="es-ES"/>
              </w:rPr>
            </w:pPr>
            <w:r>
              <w:rPr>
                <w:rFonts w:ascii="Matter Light" w:eastAsia="Times New Roman" w:hAnsi="Matter Light" w:cs="Calibri"/>
                <w:color w:val="000000"/>
                <w:lang w:eastAsia="es-ES"/>
              </w:rPr>
              <w:t>Puedo aplicar el servicio mínimo con origen aeropuerto</w:t>
            </w:r>
            <w:r w:rsidR="00A8749E" w:rsidRPr="00BE5323">
              <w:rPr>
                <w:rFonts w:ascii="Matter Light" w:eastAsia="Times New Roman" w:hAnsi="Matter Light" w:cs="Calibri"/>
                <w:color w:val="000000"/>
                <w:lang w:eastAsia="es-ES"/>
              </w:rPr>
              <w:t>.</w:t>
            </w:r>
          </w:p>
        </w:tc>
      </w:tr>
    </w:tbl>
    <w:p w:rsidR="00A860BB" w:rsidRDefault="00A860BB" w:rsidP="006E162D"/>
    <w:sectPr w:rsidR="00A860BB" w:rsidSect="00597113">
      <w:headerReference w:type="default" r:id="rId7"/>
      <w:headerReference w:type="first" r:id="rId8"/>
      <w:footerReference w:type="first" r:id="rId9"/>
      <w:pgSz w:w="11906" w:h="16838"/>
      <w:pgMar w:top="1701" w:right="1134" w:bottom="851" w:left="1134" w:header="709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90F" w:rsidRDefault="00E3290F" w:rsidP="001907F2">
      <w:pPr>
        <w:spacing w:after="0" w:line="240" w:lineRule="auto"/>
      </w:pPr>
      <w:r>
        <w:separator/>
      </w:r>
    </w:p>
  </w:endnote>
  <w:endnote w:type="continuationSeparator" w:id="0">
    <w:p w:rsidR="00E3290F" w:rsidRDefault="00E3290F" w:rsidP="0019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ter Light">
    <w:panose1 w:val="00000000000000000000"/>
    <w:charset w:val="00"/>
    <w:family w:val="auto"/>
    <w:pitch w:val="variable"/>
    <w:sig w:usb0="A10000EF" w:usb1="4000247A" w:usb2="00000000" w:usb3="00000000" w:csb0="00000093" w:csb1="00000000"/>
    <w:embedRegular r:id="rId1" w:fontKey="{1FB5621B-2FE3-4EDA-A81B-9B92872C6D64}"/>
    <w:embedBold r:id="rId2" w:fontKey="{55AF47E5-17FB-4173-88F4-61186C6AA864}"/>
  </w:font>
  <w:font w:name="Matter SemiBold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Matter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HelveticaNeueLTStd-Roman">
    <w:altName w:val="Arial"/>
    <w:charset w:val="4D"/>
    <w:family w:val="auto"/>
    <w:pitch w:val="default"/>
    <w:sig w:usb0="00000003" w:usb1="00000000" w:usb2="00000000" w:usb3="00000000" w:csb0="00000001" w:csb1="00000000"/>
  </w:font>
  <w:font w:name="Matter Medium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Matter-Light">
    <w:altName w:val="Calibri"/>
    <w:panose1 w:val="00000000000000000000"/>
    <w:charset w:val="4D"/>
    <w:family w:val="auto"/>
    <w:notTrueType/>
    <w:pitch w:val="variable"/>
    <w:sig w:usb0="A10000EF" w:usb1="4000247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2BA" w:rsidRPr="00D541F8" w:rsidRDefault="005952BA">
    <w:pPr>
      <w:pStyle w:val="Piedepgina"/>
      <w:rPr>
        <w:sz w:val="16"/>
        <w:szCs w:val="16"/>
      </w:rPr>
    </w:pPr>
    <w:r w:rsidRPr="00D541F8">
      <w:rPr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056ADD" wp14:editId="76E18DFA">
              <wp:simplePos x="0" y="0"/>
              <wp:positionH relativeFrom="column">
                <wp:posOffset>6192520</wp:posOffset>
              </wp:positionH>
              <wp:positionV relativeFrom="page">
                <wp:align>center</wp:align>
              </wp:positionV>
              <wp:extent cx="1828800" cy="428400"/>
              <wp:effectExtent l="0" t="0" r="0" b="0"/>
              <wp:wrapNone/>
              <wp:docPr id="45627519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52BA" w:rsidRPr="00886049" w:rsidRDefault="005952BA" w:rsidP="00BB3BCA">
                          <w:pPr>
                            <w:pStyle w:val="B3-Web"/>
                          </w:pP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56A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7.6pt;margin-top:0;width:2in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" filled="f" stroked="f" strokeweight=".5pt">
              <v:textbox>
                <w:txbxContent>
                  <w:p w:rsidR="005952BA" w:rsidRPr="00886049" w:rsidRDefault="005952BA" w:rsidP="00BB3BCA">
                    <w:pPr>
                      <w:pStyle w:val="B3-Web"/>
                    </w:pPr>
                    <w:r w:rsidRPr="00A2269E">
                      <w:rPr>
                        <w:sz w:val="16"/>
                        <w:szCs w:val="16"/>
                      </w:rPr>
                      <w:fldChar w:fldCharType="begin"/>
                    </w:r>
                    <w:r w:rsidRPr="00A2269E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2269E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2269E">
                      <w:rPr>
                        <w:sz w:val="16"/>
                        <w:szCs w:val="16"/>
                      </w:rPr>
                      <w:fldChar w:fldCharType="end"/>
                    </w:r>
                    <w:r w:rsidRPr="00A2269E">
                      <w:rPr>
                        <w:sz w:val="16"/>
                        <w:szCs w:val="16"/>
                      </w:rPr>
                      <w:t>/</w:t>
                    </w:r>
                    <w:r w:rsidRPr="00A2269E">
                      <w:rPr>
                        <w:sz w:val="16"/>
                        <w:szCs w:val="16"/>
                      </w:rPr>
                      <w:fldChar w:fldCharType="begin"/>
                    </w:r>
                    <w:r w:rsidRPr="00A2269E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2269E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19</w:t>
                    </w:r>
                    <w:r w:rsidRPr="00A2269E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541F8">
      <w:rPr>
        <w:sz w:val="16"/>
        <w:szCs w:val="16"/>
      </w:rPr>
      <w:t>2025.</w:t>
    </w:r>
    <w:r w:rsidR="00597113">
      <w:rPr>
        <w:sz w:val="16"/>
        <w:szCs w:val="16"/>
      </w:rPr>
      <w:t>3 Publicados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90F" w:rsidRDefault="00E3290F" w:rsidP="001907F2">
      <w:pPr>
        <w:spacing w:after="0" w:line="240" w:lineRule="auto"/>
      </w:pPr>
      <w:r>
        <w:separator/>
      </w:r>
    </w:p>
  </w:footnote>
  <w:footnote w:type="continuationSeparator" w:id="0">
    <w:p w:rsidR="00E3290F" w:rsidRDefault="00E3290F" w:rsidP="0019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2BA" w:rsidRDefault="005952BA">
    <w:pPr>
      <w:pStyle w:val="Encabezado"/>
    </w:pPr>
    <w:r w:rsidRPr="009C4324">
      <w:rPr>
        <w:noProof/>
        <w:lang w:eastAsia="es-ES"/>
      </w:rPr>
      <w:drawing>
        <wp:anchor distT="0" distB="0" distL="114300" distR="114300" simplePos="0" relativeHeight="251670528" behindDoc="1" locked="0" layoutInCell="1" allowOverlap="1" wp14:anchorId="0D76DEAB" wp14:editId="24490523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2138400" cy="4860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0435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56E057" wp14:editId="3FE92E2A">
              <wp:simplePos x="0" y="0"/>
              <wp:positionH relativeFrom="column">
                <wp:posOffset>6192520</wp:posOffset>
              </wp:positionH>
              <wp:positionV relativeFrom="page">
                <wp:align>center</wp:align>
              </wp:positionV>
              <wp:extent cx="1828800" cy="428400"/>
              <wp:effectExtent l="0" t="0" r="0" b="0"/>
              <wp:wrapNone/>
              <wp:docPr id="78917178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52BA" w:rsidRPr="00886049" w:rsidRDefault="005952BA" w:rsidP="00BB3BCA">
                          <w:pPr>
                            <w:pStyle w:val="B3-Web"/>
                          </w:pP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 w:rsidRPr="00A2269E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6E0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87.6pt;margin-top:0;width:2in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" filled="f" stroked="f" strokeweight=".5pt">
              <v:textbox>
                <w:txbxContent>
                  <w:p w:rsidR="005952BA" w:rsidRPr="00886049" w:rsidRDefault="005952BA" w:rsidP="00BB3BCA">
                    <w:pPr>
                      <w:pStyle w:val="B3-Web"/>
                    </w:pPr>
                    <w:r w:rsidRPr="00A2269E">
                      <w:rPr>
                        <w:sz w:val="16"/>
                        <w:szCs w:val="16"/>
                      </w:rPr>
                      <w:fldChar w:fldCharType="begin"/>
                    </w:r>
                    <w:r w:rsidRPr="00A2269E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2269E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2269E">
                      <w:rPr>
                        <w:sz w:val="16"/>
                        <w:szCs w:val="16"/>
                      </w:rPr>
                      <w:fldChar w:fldCharType="end"/>
                    </w:r>
                    <w:r w:rsidRPr="00A2269E">
                      <w:rPr>
                        <w:sz w:val="16"/>
                        <w:szCs w:val="16"/>
                      </w:rPr>
                      <w:t>/</w:t>
                    </w:r>
                    <w:r w:rsidRPr="00A2269E">
                      <w:rPr>
                        <w:sz w:val="16"/>
                        <w:szCs w:val="16"/>
                      </w:rPr>
                      <w:fldChar w:fldCharType="begin"/>
                    </w:r>
                    <w:r w:rsidRPr="00A2269E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2269E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19</w:t>
                    </w:r>
                    <w:r w:rsidRPr="00A2269E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2BA" w:rsidRDefault="005952BA">
    <w:pPr>
      <w:pStyle w:val="Encabezado"/>
    </w:pPr>
    <w:r w:rsidRPr="009C4324"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6F9CE2D0" wp14:editId="70B6326E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2138400" cy="486000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9665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373"/>
    <w:multiLevelType w:val="hybridMultilevel"/>
    <w:tmpl w:val="CC02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34A"/>
    <w:multiLevelType w:val="hybridMultilevel"/>
    <w:tmpl w:val="CC02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59B5"/>
    <w:multiLevelType w:val="hybridMultilevel"/>
    <w:tmpl w:val="86866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60EFD"/>
    <w:multiLevelType w:val="hybridMultilevel"/>
    <w:tmpl w:val="46EAEC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73727"/>
    <w:multiLevelType w:val="hybridMultilevel"/>
    <w:tmpl w:val="86866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92A4D"/>
    <w:multiLevelType w:val="hybridMultilevel"/>
    <w:tmpl w:val="3E04B0D8"/>
    <w:lvl w:ilvl="0" w:tplc="D7DEF464">
      <w:start w:val="1"/>
      <w:numFmt w:val="bullet"/>
      <w:pStyle w:val="4-Listad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619DA"/>
    <w:multiLevelType w:val="hybridMultilevel"/>
    <w:tmpl w:val="B1C42D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85300"/>
    <w:multiLevelType w:val="hybridMultilevel"/>
    <w:tmpl w:val="CC021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29CB"/>
    <w:multiLevelType w:val="hybridMultilevel"/>
    <w:tmpl w:val="A00C5D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12"/>
    <w:rsid w:val="00004025"/>
    <w:rsid w:val="000222E5"/>
    <w:rsid w:val="00024B1F"/>
    <w:rsid w:val="000336E5"/>
    <w:rsid w:val="000400A6"/>
    <w:rsid w:val="000409C1"/>
    <w:rsid w:val="00062BEA"/>
    <w:rsid w:val="000670AC"/>
    <w:rsid w:val="00086384"/>
    <w:rsid w:val="00090F16"/>
    <w:rsid w:val="000A68C8"/>
    <w:rsid w:val="000A7459"/>
    <w:rsid w:val="000D6880"/>
    <w:rsid w:val="000E1BB2"/>
    <w:rsid w:val="001008CA"/>
    <w:rsid w:val="00110804"/>
    <w:rsid w:val="00121CB4"/>
    <w:rsid w:val="00136A8E"/>
    <w:rsid w:val="00141371"/>
    <w:rsid w:val="00143CDB"/>
    <w:rsid w:val="001475BF"/>
    <w:rsid w:val="00154A4F"/>
    <w:rsid w:val="00180400"/>
    <w:rsid w:val="001907F2"/>
    <w:rsid w:val="001B7B3E"/>
    <w:rsid w:val="001D4D98"/>
    <w:rsid w:val="001E741D"/>
    <w:rsid w:val="00221573"/>
    <w:rsid w:val="0023795F"/>
    <w:rsid w:val="002616D3"/>
    <w:rsid w:val="002628F2"/>
    <w:rsid w:val="0028719D"/>
    <w:rsid w:val="002A5E30"/>
    <w:rsid w:val="002C22FB"/>
    <w:rsid w:val="002C61C4"/>
    <w:rsid w:val="003040AF"/>
    <w:rsid w:val="00305096"/>
    <w:rsid w:val="00311925"/>
    <w:rsid w:val="00312392"/>
    <w:rsid w:val="00317395"/>
    <w:rsid w:val="00331AAC"/>
    <w:rsid w:val="00357134"/>
    <w:rsid w:val="00366819"/>
    <w:rsid w:val="0037274C"/>
    <w:rsid w:val="003C1447"/>
    <w:rsid w:val="003E42F4"/>
    <w:rsid w:val="003F64A2"/>
    <w:rsid w:val="0042725F"/>
    <w:rsid w:val="00441F37"/>
    <w:rsid w:val="004449C5"/>
    <w:rsid w:val="00454AC7"/>
    <w:rsid w:val="00491BC2"/>
    <w:rsid w:val="00494A09"/>
    <w:rsid w:val="004D0C9F"/>
    <w:rsid w:val="00503975"/>
    <w:rsid w:val="00534CAE"/>
    <w:rsid w:val="00535CE6"/>
    <w:rsid w:val="005728D1"/>
    <w:rsid w:val="0057719B"/>
    <w:rsid w:val="0058735A"/>
    <w:rsid w:val="005917C8"/>
    <w:rsid w:val="005952BA"/>
    <w:rsid w:val="00597113"/>
    <w:rsid w:val="005A0202"/>
    <w:rsid w:val="005C7AB6"/>
    <w:rsid w:val="005E657B"/>
    <w:rsid w:val="00600394"/>
    <w:rsid w:val="00623AD4"/>
    <w:rsid w:val="00625448"/>
    <w:rsid w:val="00651820"/>
    <w:rsid w:val="00655C38"/>
    <w:rsid w:val="006904B3"/>
    <w:rsid w:val="006E162D"/>
    <w:rsid w:val="00755DA3"/>
    <w:rsid w:val="00795891"/>
    <w:rsid w:val="007E2965"/>
    <w:rsid w:val="007F4ACF"/>
    <w:rsid w:val="0080246A"/>
    <w:rsid w:val="00831E54"/>
    <w:rsid w:val="00837EB2"/>
    <w:rsid w:val="00844E95"/>
    <w:rsid w:val="008603DF"/>
    <w:rsid w:val="008700C8"/>
    <w:rsid w:val="0088286E"/>
    <w:rsid w:val="00885B1A"/>
    <w:rsid w:val="008A0C6A"/>
    <w:rsid w:val="008A20F3"/>
    <w:rsid w:val="008B2976"/>
    <w:rsid w:val="008D4236"/>
    <w:rsid w:val="008E67D4"/>
    <w:rsid w:val="008F5473"/>
    <w:rsid w:val="00915BC5"/>
    <w:rsid w:val="009313BD"/>
    <w:rsid w:val="00956F01"/>
    <w:rsid w:val="00974DC8"/>
    <w:rsid w:val="00984E16"/>
    <w:rsid w:val="009918CE"/>
    <w:rsid w:val="009C4324"/>
    <w:rsid w:val="009F0D85"/>
    <w:rsid w:val="009F4D97"/>
    <w:rsid w:val="00A02BE5"/>
    <w:rsid w:val="00A43D48"/>
    <w:rsid w:val="00A625B6"/>
    <w:rsid w:val="00A66201"/>
    <w:rsid w:val="00A71B37"/>
    <w:rsid w:val="00A860BB"/>
    <w:rsid w:val="00A8749E"/>
    <w:rsid w:val="00AA10F7"/>
    <w:rsid w:val="00AA3D20"/>
    <w:rsid w:val="00AA4C20"/>
    <w:rsid w:val="00AB0F0D"/>
    <w:rsid w:val="00AB1540"/>
    <w:rsid w:val="00AB3F78"/>
    <w:rsid w:val="00AC671A"/>
    <w:rsid w:val="00AF3036"/>
    <w:rsid w:val="00AF763A"/>
    <w:rsid w:val="00B13729"/>
    <w:rsid w:val="00B145DE"/>
    <w:rsid w:val="00B21A90"/>
    <w:rsid w:val="00B25518"/>
    <w:rsid w:val="00B51B5D"/>
    <w:rsid w:val="00B57151"/>
    <w:rsid w:val="00B6214F"/>
    <w:rsid w:val="00B63727"/>
    <w:rsid w:val="00B96B76"/>
    <w:rsid w:val="00BA6AEE"/>
    <w:rsid w:val="00BB3119"/>
    <w:rsid w:val="00BB3BCA"/>
    <w:rsid w:val="00BC704E"/>
    <w:rsid w:val="00BC7DB8"/>
    <w:rsid w:val="00BE5323"/>
    <w:rsid w:val="00C04F20"/>
    <w:rsid w:val="00C057D9"/>
    <w:rsid w:val="00C12F5F"/>
    <w:rsid w:val="00C153CB"/>
    <w:rsid w:val="00C15A75"/>
    <w:rsid w:val="00C36B72"/>
    <w:rsid w:val="00C427D3"/>
    <w:rsid w:val="00C57435"/>
    <w:rsid w:val="00C86D1C"/>
    <w:rsid w:val="00C92D1D"/>
    <w:rsid w:val="00CA279B"/>
    <w:rsid w:val="00CD1B12"/>
    <w:rsid w:val="00CD6733"/>
    <w:rsid w:val="00CE4A30"/>
    <w:rsid w:val="00CE4F15"/>
    <w:rsid w:val="00CF1E08"/>
    <w:rsid w:val="00D06341"/>
    <w:rsid w:val="00D121A3"/>
    <w:rsid w:val="00D16354"/>
    <w:rsid w:val="00D52960"/>
    <w:rsid w:val="00D541F8"/>
    <w:rsid w:val="00D64561"/>
    <w:rsid w:val="00DB5FB4"/>
    <w:rsid w:val="00DC3294"/>
    <w:rsid w:val="00DD1E94"/>
    <w:rsid w:val="00DE0C37"/>
    <w:rsid w:val="00E0087C"/>
    <w:rsid w:val="00E14192"/>
    <w:rsid w:val="00E24029"/>
    <w:rsid w:val="00E3290F"/>
    <w:rsid w:val="00E55310"/>
    <w:rsid w:val="00E6263F"/>
    <w:rsid w:val="00E628F4"/>
    <w:rsid w:val="00E9372C"/>
    <w:rsid w:val="00E958F9"/>
    <w:rsid w:val="00EE1758"/>
    <w:rsid w:val="00EE4812"/>
    <w:rsid w:val="00F14B91"/>
    <w:rsid w:val="00F31510"/>
    <w:rsid w:val="00F42A14"/>
    <w:rsid w:val="00F44404"/>
    <w:rsid w:val="00F60F76"/>
    <w:rsid w:val="00F75887"/>
    <w:rsid w:val="00F7671D"/>
    <w:rsid w:val="00F85005"/>
    <w:rsid w:val="00F862B8"/>
    <w:rsid w:val="00FA6742"/>
    <w:rsid w:val="00FE0267"/>
    <w:rsid w:val="00FF3705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4C592"/>
  <w15:docId w15:val="{F7C5A895-122A-4897-97DF-8777373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AB3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05C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2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05C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F78"/>
    <w:rPr>
      <w:rFonts w:asciiTheme="majorHAnsi" w:eastAsiaTheme="majorEastAsia" w:hAnsiTheme="majorHAnsi" w:cstheme="majorBidi"/>
      <w:color w:val="00405C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2BEA"/>
    <w:rPr>
      <w:rFonts w:asciiTheme="majorHAnsi" w:eastAsiaTheme="majorEastAsia" w:hAnsiTheme="majorHAnsi" w:cstheme="majorBidi"/>
      <w:color w:val="00405C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90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7F2"/>
  </w:style>
  <w:style w:type="paragraph" w:styleId="Piedepgina">
    <w:name w:val="footer"/>
    <w:basedOn w:val="Normal"/>
    <w:link w:val="PiedepginaCar"/>
    <w:uiPriority w:val="99"/>
    <w:unhideWhenUsed/>
    <w:rsid w:val="00190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7F2"/>
  </w:style>
  <w:style w:type="table" w:styleId="Tablaconcuadrcula">
    <w:name w:val="Table Grid"/>
    <w:basedOn w:val="Tablanormal"/>
    <w:uiPriority w:val="39"/>
    <w:rsid w:val="001907F2"/>
    <w:pPr>
      <w:spacing w:after="0" w:line="240" w:lineRule="auto"/>
    </w:pPr>
    <w:rPr>
      <w:rFonts w:ascii="Matter Light" w:eastAsia="Times New Roman" w:hAnsi="Matter Light" w:cs="Times New Roman"/>
      <w:color w:val="00000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">
    <w:name w:val="pie"/>
    <w:basedOn w:val="Piedepgina"/>
    <w:rsid w:val="001907F2"/>
    <w:pPr>
      <w:widowControl w:val="0"/>
      <w:autoSpaceDE w:val="0"/>
      <w:autoSpaceDN w:val="0"/>
      <w:adjustRightInd w:val="0"/>
      <w:textAlignment w:val="center"/>
    </w:pPr>
    <w:rPr>
      <w:rFonts w:ascii="Matter" w:eastAsia="Times New Roman" w:hAnsi="Matter" w:cs="Times New Roman"/>
      <w:color w:val="00587C"/>
      <w:sz w:val="18"/>
      <w:szCs w:val="18"/>
      <w:lang w:eastAsia="es-ES_tradnl"/>
    </w:rPr>
  </w:style>
  <w:style w:type="paragraph" w:customStyle="1" w:styleId="1-Normal">
    <w:name w:val="1- Normal"/>
    <w:basedOn w:val="Normal"/>
    <w:qFormat/>
    <w:rsid w:val="00D06341"/>
    <w:pPr>
      <w:widowControl w:val="0"/>
      <w:autoSpaceDE w:val="0"/>
      <w:autoSpaceDN w:val="0"/>
      <w:adjustRightInd w:val="0"/>
      <w:spacing w:before="120" w:after="0" w:line="260" w:lineRule="atLeast"/>
      <w:jc w:val="both"/>
      <w:textAlignment w:val="center"/>
    </w:pPr>
    <w:rPr>
      <w:rFonts w:ascii="Matter Light" w:eastAsia="Times New Roman" w:hAnsi="Matter Light" w:cs="Times New Roman"/>
      <w:color w:val="000000"/>
      <w:lang w:eastAsia="es-ES_tradnl"/>
    </w:rPr>
  </w:style>
  <w:style w:type="paragraph" w:customStyle="1" w:styleId="5-Fecha">
    <w:name w:val="5 - Fecha"/>
    <w:basedOn w:val="6-Firma"/>
    <w:next w:val="6-Firma"/>
    <w:qFormat/>
    <w:rsid w:val="00B57151"/>
    <w:pPr>
      <w:spacing w:before="360" w:after="120"/>
    </w:pPr>
  </w:style>
  <w:style w:type="paragraph" w:customStyle="1" w:styleId="6-Firma">
    <w:name w:val="6 - Firma"/>
    <w:basedOn w:val="Normal"/>
    <w:qFormat/>
    <w:rsid w:val="00B57151"/>
    <w:pPr>
      <w:keepLines/>
      <w:autoSpaceDE w:val="0"/>
      <w:autoSpaceDN w:val="0"/>
      <w:adjustRightInd w:val="0"/>
      <w:spacing w:after="60" w:line="260" w:lineRule="atLeast"/>
      <w:ind w:right="-1"/>
      <w:textAlignment w:val="center"/>
    </w:pPr>
    <w:rPr>
      <w:rFonts w:ascii="Matter Light" w:eastAsia="Times New Roman" w:hAnsi="Matter Light" w:cs="HelveticaNeueLTStd-Roman"/>
      <w:color w:val="000000"/>
      <w:spacing w:val="-1"/>
      <w:szCs w:val="18"/>
      <w:lang w:eastAsia="es-ES_tradnl"/>
    </w:rPr>
  </w:style>
  <w:style w:type="character" w:customStyle="1" w:styleId="7-Negritanormal">
    <w:name w:val="7- Negrita normal"/>
    <w:uiPriority w:val="1"/>
    <w:qFormat/>
    <w:rsid w:val="00D06341"/>
    <w:rPr>
      <w:rFonts w:ascii="Matter Medium" w:hAnsi="Matter Medium"/>
      <w:b w:val="0"/>
      <w:i w:val="0"/>
      <w:spacing w:val="0"/>
      <w:lang w:val="es-ES"/>
    </w:rPr>
  </w:style>
  <w:style w:type="paragraph" w:customStyle="1" w:styleId="4-Listado">
    <w:name w:val="4- Listado"/>
    <w:basedOn w:val="Normal"/>
    <w:qFormat/>
    <w:rsid w:val="00AB3F78"/>
    <w:pPr>
      <w:widowControl w:val="0"/>
      <w:numPr>
        <w:numId w:val="1"/>
      </w:numPr>
      <w:autoSpaceDE w:val="0"/>
      <w:autoSpaceDN w:val="0"/>
      <w:adjustRightInd w:val="0"/>
      <w:spacing w:before="120" w:after="0" w:line="260" w:lineRule="atLeast"/>
      <w:jc w:val="both"/>
      <w:textAlignment w:val="center"/>
    </w:pPr>
    <w:rPr>
      <w:rFonts w:ascii="Matter Light" w:eastAsia="Times New Roman" w:hAnsi="Matter Light" w:cs="Times New Roman"/>
      <w:color w:val="000000"/>
      <w:lang w:eastAsia="es-ES_tradnl"/>
    </w:rPr>
  </w:style>
  <w:style w:type="paragraph" w:customStyle="1" w:styleId="3-Subtitulo">
    <w:name w:val="3- Subtitulo"/>
    <w:basedOn w:val="Ttulo2"/>
    <w:qFormat/>
    <w:rsid w:val="00AB3F78"/>
    <w:pPr>
      <w:widowControl w:val="0"/>
      <w:autoSpaceDE w:val="0"/>
      <w:autoSpaceDN w:val="0"/>
      <w:adjustRightInd w:val="0"/>
      <w:spacing w:before="240" w:after="120" w:line="300" w:lineRule="atLeast"/>
      <w:jc w:val="both"/>
      <w:textAlignment w:val="center"/>
    </w:pPr>
    <w:rPr>
      <w:rFonts w:ascii="Matter Medium" w:eastAsia="Times New Roman" w:hAnsi="Matter Medium" w:cs="Matter Medium"/>
      <w:color w:val="000000"/>
      <w:lang w:eastAsia="es-ES_tradnl"/>
    </w:rPr>
  </w:style>
  <w:style w:type="paragraph" w:customStyle="1" w:styleId="2-Titulo">
    <w:name w:val="2-Titulo"/>
    <w:basedOn w:val="Ttulo1"/>
    <w:qFormat/>
    <w:rsid w:val="00E24029"/>
    <w:pPr>
      <w:keepNext w:val="0"/>
      <w:keepLines w:val="0"/>
      <w:widowControl w:val="0"/>
      <w:snapToGrid w:val="0"/>
      <w:spacing w:after="120" w:line="360" w:lineRule="exact"/>
    </w:pPr>
    <w:rPr>
      <w:rFonts w:ascii="Matter SemiBold" w:eastAsia="Times New Roman" w:hAnsi="Matter SemiBold" w:cs="Matter-Light"/>
      <w:b/>
      <w:color w:val="000000"/>
      <w:spacing w:val="-1"/>
      <w:sz w:val="28"/>
      <w:szCs w:val="28"/>
      <w:lang w:eastAsia="es-ES_tradnl"/>
    </w:rPr>
  </w:style>
  <w:style w:type="paragraph" w:customStyle="1" w:styleId="B3-Web">
    <w:name w:val="B3- Web"/>
    <w:basedOn w:val="Normal"/>
    <w:rsid w:val="00BB3BCA"/>
    <w:pPr>
      <w:widowControl w:val="0"/>
      <w:autoSpaceDE w:val="0"/>
      <w:autoSpaceDN w:val="0"/>
      <w:adjustRightInd w:val="0"/>
      <w:spacing w:before="120" w:after="0" w:line="300" w:lineRule="atLeast"/>
      <w:jc w:val="both"/>
      <w:textAlignment w:val="center"/>
    </w:pPr>
    <w:rPr>
      <w:rFonts w:ascii="Matter Light" w:eastAsia="Times New Roman" w:hAnsi="Matter Light" w:cs="Times New Roman"/>
      <w:color w:val="00587C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931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garces\Desktop\A4%20-%20Area_Movilidad.dotm" TargetMode="External"/></Relationships>
</file>

<file path=word/theme/theme1.xml><?xml version="1.0" encoding="utf-8"?>
<a:theme xmlns:a="http://schemas.openxmlformats.org/drawingml/2006/main" name="Tema de Office">
  <a:themeElements>
    <a:clrScheme name="Ciudad de Málag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67B"/>
      </a:accent1>
      <a:accent2>
        <a:srgbClr val="0F7795"/>
      </a:accent2>
      <a:accent3>
        <a:srgbClr val="5B99B0"/>
      </a:accent3>
      <a:accent4>
        <a:srgbClr val="94BCCA"/>
      </a:accent4>
      <a:accent5>
        <a:srgbClr val="CBDDE5"/>
      </a:accent5>
      <a:accent6>
        <a:srgbClr val="A5A5A5"/>
      </a:accent6>
      <a:hlink>
        <a:srgbClr val="0563C1"/>
      </a:hlink>
      <a:folHlink>
        <a:srgbClr val="954F72"/>
      </a:folHlink>
    </a:clrScheme>
    <a:fontScheme name="Ayuntamiento de Málaga">
      <a:majorFont>
        <a:latin typeface="Matter SemiBold"/>
        <a:ea typeface=""/>
        <a:cs typeface=""/>
      </a:majorFont>
      <a:minorFont>
        <a:latin typeface="Matter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A4 - Area_Movilidad</Template>
  <TotalTime>59</TotalTime>
  <Pages>3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Garcés Alonso, Francisco José</dc:creator>
  <cp:lastModifiedBy>Garcés Alonso, Francisco José</cp:lastModifiedBy>
  <cp:revision>8</cp:revision>
  <cp:lastPrinted>2025-03-12T11:55:00Z</cp:lastPrinted>
  <dcterms:created xsi:type="dcterms:W3CDTF">2025-04-11T11:57:00Z</dcterms:created>
  <dcterms:modified xsi:type="dcterms:W3CDTF">2025-07-17T09:34:00Z</dcterms:modified>
</cp:coreProperties>
</file>